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bidi/>
        <w:jc w:val="start"/>
        <w:spacing w:before="280" w:after="120"/>
      </w:pPr>
      <w:r>
        <w:rPr>
          <w:rFonts w:ascii="Arial" w:hAnsi="Arial" w:cs="Arial"/>
          <w:b/>
          <w:bCs/>
          <w:sz w:val="36"/>
          <w:szCs w:val="36"/>
          <w:color w:val="0E7C66"/>
          <w:rtl/>
        </w:rPr>
        <w:t xml:space="preserve">نموذج وصف وظيفي — أخصائي موارد بشرية</w:t>
      </w:r>
    </w:p>
    <w:p>
      <w:pPr>
        <w:bidi/>
        <w:jc w:val="start"/>
        <w:spacing w:before="280" w:after="120"/>
      </w:pPr>
      <w:r>
        <w:rPr>
          <w:rFonts w:ascii="Arial" w:hAnsi="Arial" w:cs="Arial"/>
          <w:b/>
          <w:bCs/>
          <w:sz w:val="26"/>
          <w:szCs w:val="26"/>
          <w:color w:val="0E7C66"/>
          <w:rtl/>
        </w:rPr>
        <w:t xml:space="preserve">بيانات الوظيفة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b/>
          <w:bCs/>
          <w:sz w:val="24"/>
          <w:szCs w:val="24"/>
          <w:rtl/>
        </w:rPr>
        <w:t xml:space="preserve">المسمى الوظيفي:</w:t>
      </w:r>
      <w:r>
        <w:rPr>
          <w:rFonts w:ascii="Arial" w:hAnsi="Arial" w:cs="Arial"/>
          <w:sz w:val="24"/>
          <w:szCs w:val="24"/>
          <w:rtl/>
        </w:rPr>
        <w:t xml:space="preserve"> أخصائي موارد بشرية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b/>
          <w:bCs/>
          <w:sz w:val="24"/>
          <w:szCs w:val="24"/>
          <w:rtl/>
        </w:rPr>
        <w:t xml:space="preserve">القسم:</w:t>
      </w:r>
      <w:r>
        <w:rPr>
          <w:rFonts w:ascii="Arial" w:hAnsi="Arial" w:cs="Arial"/>
          <w:sz w:val="24"/>
          <w:szCs w:val="24"/>
          <w:rtl/>
        </w:rPr>
        <w:t xml:space="preserve"> الموارد البشرية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b/>
          <w:bCs/>
          <w:sz w:val="24"/>
          <w:szCs w:val="24"/>
          <w:rtl/>
        </w:rPr>
        <w:t xml:space="preserve">يتبع لـ:</w:t>
      </w:r>
      <w:r>
        <w:rPr>
          <w:rFonts w:ascii="Arial" w:hAnsi="Arial" w:cs="Arial"/>
          <w:sz w:val="24"/>
          <w:szCs w:val="24"/>
          <w:rtl/>
        </w:rPr>
        <w:t xml:space="preserve"> [مدير الموارد البشرية]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b/>
          <w:bCs/>
          <w:sz w:val="24"/>
          <w:szCs w:val="24"/>
          <w:rtl/>
        </w:rPr>
        <w:t xml:space="preserve">مكان العمل:</w:t>
      </w:r>
      <w:r>
        <w:rPr>
          <w:rFonts w:ascii="Arial" w:hAnsi="Arial" w:cs="Arial"/>
          <w:sz w:val="24"/>
          <w:szCs w:val="24"/>
          <w:rtl/>
        </w:rPr>
        <w:t xml:space="preserve"> [القاهرة — حضوري / هجين]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b/>
          <w:bCs/>
          <w:sz w:val="24"/>
          <w:szCs w:val="24"/>
          <w:rtl/>
        </w:rPr>
        <w:t xml:space="preserve">نوع التعاقد:</w:t>
      </w:r>
      <w:r>
        <w:rPr>
          <w:rFonts w:ascii="Arial" w:hAnsi="Arial" w:cs="Arial"/>
          <w:sz w:val="24"/>
          <w:szCs w:val="24"/>
          <w:rtl/>
        </w:rPr>
        <w:t xml:space="preserve"> [دوام كامل]</w:t>
      </w:r>
    </w:p>
    <w:p>
      <w:pPr>
        <w:bidi/>
        <w:jc w:val="start"/>
        <w:spacing w:before="280" w:after="120"/>
      </w:pPr>
      <w:r>
        <w:rPr>
          <w:rFonts w:ascii="Arial" w:hAnsi="Arial" w:cs="Arial"/>
          <w:b/>
          <w:bCs/>
          <w:sz w:val="26"/>
          <w:szCs w:val="26"/>
          <w:color w:val="0E7C66"/>
          <w:rtl/>
        </w:rPr>
        <w:t xml:space="preserve">الهدف من الوظيفة</w:t>
      </w:r>
    </w:p>
    <w:p>
      <w:p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دعم دورة حياة الموظف بالكامل — من التوظيف حتى إنهاء الخدمة — وتنفيذ سياسات الموارد البشرية وضمان الالتزام بقانون العمل.</w:t>
      </w:r>
    </w:p>
    <w:p>
      <w:pPr>
        <w:bidi/>
        <w:jc w:val="start"/>
        <w:spacing w:before="280" w:after="120"/>
      </w:pPr>
      <w:r>
        <w:rPr>
          <w:rFonts w:ascii="Arial" w:hAnsi="Arial" w:cs="Arial"/>
          <w:b/>
          <w:bCs/>
          <w:sz w:val="26"/>
          <w:szCs w:val="26"/>
          <w:color w:val="0E7C66"/>
          <w:rtl/>
        </w:rPr>
        <w:t xml:space="preserve">المهام والمسؤوليات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إدارة عملية التوظيف: نشر الإعلانات، الفرز، تنسيق المقابلات، وعروض العمل.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تنفيذ إجراءات التعيين والتهيئة (Onboarding) وإنهاء الخدمة.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إدارة ملفات الموظفين وعقودهم وتحديث بياناتهم.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متابعة الحضور والإجازات والتأمينات الاجتماعية.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دعم دورة تقييم الأداء والمتابعة مع المديرين.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المساهمة في تحديث اللوائح والسياسات الداخلية.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التعامل مع استفسارات الموظفين وحل المشكلات اليومية.</w:t>
      </w:r>
    </w:p>
    <w:p>
      <w:pPr>
        <w:bidi/>
        <w:jc w:val="start"/>
        <w:spacing w:before="280" w:after="120"/>
      </w:pPr>
      <w:r>
        <w:rPr>
          <w:rFonts w:ascii="Arial" w:hAnsi="Arial" w:cs="Arial"/>
          <w:b/>
          <w:bCs/>
          <w:sz w:val="26"/>
          <w:szCs w:val="26"/>
          <w:color w:val="0E7C66"/>
          <w:rtl/>
        </w:rPr>
        <w:t xml:space="preserve">المؤهلات والخبرات المطلوبة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بكالوريوس في إدارة الأعمال أو مجال ذي صلة.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[2–4] سنوات خبرة في الموارد البشرية بمهام متنوعة.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معرفة عملية بقانون العمل والتأمينات المصري.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إجادة Excel وأنظمة [HRIS / نظام حضور].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[دبلومة أو شهادة موارد بشرية — ميزة إضافية].</w:t>
      </w:r>
    </w:p>
    <w:p>
      <w:pPr>
        <w:bidi/>
        <w:jc w:val="start"/>
        <w:spacing w:before="280" w:after="120"/>
      </w:pPr>
      <w:r>
        <w:rPr>
          <w:rFonts w:ascii="Arial" w:hAnsi="Arial" w:cs="Arial"/>
          <w:b/>
          <w:bCs/>
          <w:sz w:val="26"/>
          <w:szCs w:val="26"/>
          <w:color w:val="0E7C66"/>
          <w:rtl/>
        </w:rPr>
        <w:t xml:space="preserve">المهارات الشخصية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تواصل قوي وقدرة على الحفاظ على السرية.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تنظيم وإدارة أولويات متعددة.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حس عالٍ بالعدالة والتعامل الإنساني.</w:t>
      </w:r>
    </w:p>
    <w:p>
      <w:pPr>
        <w:bidi/>
        <w:jc w:val="start"/>
        <w:spacing w:before="280" w:after="120"/>
      </w:pPr>
      <w:r>
        <w:rPr>
          <w:rFonts w:ascii="Arial" w:hAnsi="Arial" w:cs="Arial"/>
          <w:b/>
          <w:bCs/>
          <w:sz w:val="26"/>
          <w:szCs w:val="26"/>
          <w:color w:val="0E7C66"/>
          <w:rtl/>
        </w:rPr>
        <w:t xml:space="preserve">مؤشرات الأداء المقترحة (KPIs)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متوسط زمن شغل الوظيفة (Time to Fill).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معدل دوران الموظفين (Turnover).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نسبة اكتمال ملفات الموظفين.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رضا الموظفين عن خدمات الموارد البشرية.</w:t>
      </w:r>
    </w:p>
    <w:p>
      <w:pPr>
        <w:bidi/>
        <w:jc w:val="start"/>
        <w:spacing w:before="280" w:after="120"/>
      </w:pPr>
      <w:r>
        <w:rPr>
          <w:rFonts w:ascii="Arial" w:hAnsi="Arial" w:cs="Arial"/>
          <w:b/>
          <w:bCs/>
          <w:sz w:val="26"/>
          <w:szCs w:val="26"/>
          <w:color w:val="0E7C66"/>
          <w:rtl/>
        </w:rPr>
        <w:t xml:space="preserve">المزايا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[نطاق الراتب] — [تأمين طبي] — [بدل انتقالات] — [أيام إجازة].</w:t>
      </w:r>
    </w:p>
    <w:p>
      <w:pPr>
        <w:bidi/>
        <w:jc w:val="start"/>
        <w:spacing w:after="120"/>
      </w:pPr>
      <w:r>
        <w:rPr>
          <w:rFonts w:ascii="Arial" w:hAnsi="Arial" w:cs="Arial"/>
          <w:i/>
          <w:iCs/>
          <w:sz w:val="24"/>
          <w:szCs w:val="24"/>
          <w:color w:val="64748B"/>
          <w:rtl/>
        </w:rPr>
        <w:t xml:space="preserve">نموذج من إعداد Vacant HR — vacanthr.com. عدّل ما بين [ ] بما يناسب شركتك.</w:t>
      </w:r>
    </w:p>
    <w:sectPr>
      <w:bidi/>
      <w:pgSz w:w="11906" w:h="16838"/>
      <w:pgMar w:top="1200" w:right="1200" w:bottom="1200" w:left="1200"/>
    </w:sectPr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lvlJc w:val="start"/>
      <w:pPr>
        <w:ind w:left="720" w:hanging="360"/>
      </w:pPr>
    </w:lvl>
  </w:abstractNum>
  <w:abstractNum w:abstractNumId="1">
    <w:lvl w:ilvl="0">
      <w:start w:val="1"/>
      <w:numFmt w:val="arabicAlpha"/>
      <w:lvlText w:val="%1."/>
      <w:lvlJc w:val="start"/>
      <w:pPr>
        <w:ind w:left="72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4"/>
        <w:szCs w:val="24"/>
        <w:lang w:bidi="ar-EG"/>
      </w:rPr>
    </w:rPrDefault>
    <w:pPrDefault>
      <w:pPr>
        <w:bidi/>
        <w:spacing w:line="336" w:lineRule="auto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