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36"/>
          <w:szCs w:val="36"/>
          <w:color w:val="0E7C66"/>
          <w:rtl/>
        </w:rPr>
        <w:t xml:space="preserve">نموذج وصف وظيفي — أخصائي تسويق رقمي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بيانات الوظيفة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المسمى الوظيفي:</w:t>
      </w:r>
      <w:r>
        <w:rPr>
          <w:rFonts w:ascii="Arial" w:hAnsi="Arial" w:cs="Arial"/>
          <w:sz w:val="24"/>
          <w:szCs w:val="24"/>
          <w:rtl/>
        </w:rPr>
        <w:t xml:space="preserve"> أخصائي تسويق رقمي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القسم:</w:t>
      </w:r>
      <w:r>
        <w:rPr>
          <w:rFonts w:ascii="Arial" w:hAnsi="Arial" w:cs="Arial"/>
          <w:sz w:val="24"/>
          <w:szCs w:val="24"/>
          <w:rtl/>
        </w:rPr>
        <w:t xml:space="preserve"> التسويق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يتبع لـ:</w:t>
      </w:r>
      <w:r>
        <w:rPr>
          <w:rFonts w:ascii="Arial" w:hAnsi="Arial" w:cs="Arial"/>
          <w:sz w:val="24"/>
          <w:szCs w:val="24"/>
          <w:rtl/>
        </w:rPr>
        <w:t xml:space="preserve"> [مدير التسويق]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مكان العمل:</w:t>
      </w:r>
      <w:r>
        <w:rPr>
          <w:rFonts w:ascii="Arial" w:hAnsi="Arial" w:cs="Arial"/>
          <w:sz w:val="24"/>
          <w:szCs w:val="24"/>
          <w:rtl/>
        </w:rPr>
        <w:t xml:space="preserve"> [القاهرة — حضوري / هجين / عن بُعد]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نوع التعاقد:</w:t>
      </w:r>
      <w:r>
        <w:rPr>
          <w:rFonts w:ascii="Arial" w:hAnsi="Arial" w:cs="Arial"/>
          <w:sz w:val="24"/>
          <w:szCs w:val="24"/>
          <w:rtl/>
        </w:rPr>
        <w:t xml:space="preserve"> [دوام كامل]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الهدف من الوظيفة</w:t>
      </w:r>
    </w:p>
    <w:p>
      <w:p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تخطيط وتنفيذ حملات التسويق الرقمي عبر القنوات المختلفة لتحقيق أهداف الوعي بالعلامة وجذب العملاء المحتملين.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المهام والمسؤوليات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إدارة حملات الإعلانات المدفوعة [Meta Ads / Google Ads] ومتابعة الميزانية والعائد.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إدارة حسابات التواصل الاجتماعي وتقويم المحتوى.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تحسين محركات البحث (SEO) الأساسي للموقع والمدوّنة.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إعداد حملات البريد الإلكتروني وأتمتة التسويق.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تحليل الأداء عبر [Google Analytics / Looker Studio] وإعداد تقارير دورية.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التنسيق مع المصممين وكتّاب المحتوى لإنتاج المواد الإبداعية.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المؤهلات والخبرات المطلوبة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بكالوريوس في التسويق أو الإعلام أو مجال ذي صلة.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[1–3] سنوات خبرة في التسويق الرقمي.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خبرة عملية بإدارة حملات مدفوعة وقياس نتائجها.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إلمام بأدوات [Meta Business Suite، Google Ads، Analytics، أداة جدولة محتوى].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مهارة أساسية في التصميم [Canva] أو التعامل مع أدوات التصميم.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المهارات الشخصية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تحليلي ومهتم بالأرقام.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إبداعي ومتابع لاتجاهات السوق.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منظّم ويدير أكثر من مهمة في وقت واحد.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مؤشرات الأداء المقترحة (KPIs)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تكلفة العميل المحتمل (CPL) وتكلفة الاكتساب (CAC).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معدل التحويل من الحملات.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نمو التفاعل والوصول على القنوات.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ترتيب الكلمات المفتاحية المستهدفة.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المزايا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[نطاق الراتب] — [تأمين طبي] — [ميزانية تعلّم] — [مرونة العمل] — [أيام إجازة].</w:t>
      </w:r>
    </w:p>
    <w:p>
      <w:pPr>
        <w:bidi/>
        <w:jc w:val="start"/>
        <w:spacing w:after="120"/>
      </w:pPr>
      <w:r>
        <w:rPr>
          <w:rFonts w:ascii="Arial" w:hAnsi="Arial" w:cs="Arial"/>
          <w:i/>
          <w:iCs/>
          <w:sz w:val="24"/>
          <w:szCs w:val="24"/>
          <w:color w:val="64748B"/>
          <w:rtl/>
        </w:rPr>
        <w:t xml:space="preserve">نموذج من إعداد Vacant HR — vacanthr.com. عدّل ما بين [ ] بما يناسب شركتك.</w:t>
      </w:r>
    </w:p>
    <w:sectPr>
      <w:bidi/>
      <w:pgSz w:w="11906" w:h="16838"/>
      <w:pgMar w:top="1200" w:right="1200" w:bottom="1200" w:left="120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start"/>
      <w:pPr>
        <w:ind w:left="720" w:hanging="360"/>
      </w:pPr>
    </w:lvl>
  </w:abstractNum>
  <w:abstractNum w:abstractNumId="1">
    <w:lvl w:ilvl="0">
      <w:start w:val="1"/>
      <w:numFmt w:val="arabicAlpha"/>
      <w:lvlText w:val="%1."/>
      <w:lvlJc w:val="star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4"/>
        <w:szCs w:val="24"/>
        <w:lang w:bidi="ar-EG"/>
      </w:rPr>
    </w:rPrDefault>
    <w:pPrDefault>
      <w:pPr>
        <w:bidi/>
        <w:spacing w:line="336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